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0D" w:rsidRPr="000A010D" w:rsidRDefault="000A010D" w:rsidP="000A010D">
      <w:pPr>
        <w:pStyle w:val="KonuBal"/>
        <w:jc w:val="right"/>
        <w:rPr>
          <w:b w:val="0"/>
          <w:bCs w:val="0"/>
        </w:rPr>
      </w:pPr>
      <w:bookmarkStart w:id="0" w:name="_GoBack"/>
      <w:bookmarkEnd w:id="0"/>
      <w:r w:rsidRPr="000A010D">
        <w:rPr>
          <w:b w:val="0"/>
          <w:bCs w:val="0"/>
        </w:rPr>
        <w:t>Appendix 3</w:t>
      </w:r>
    </w:p>
    <w:p w:rsidR="0025497D" w:rsidRPr="000A010D" w:rsidRDefault="000A010D" w:rsidP="000A010D">
      <w:pPr>
        <w:pStyle w:val="KonuBal"/>
      </w:pPr>
      <w:r w:rsidRPr="000A010D">
        <w:rPr>
          <w:bCs w:val="0"/>
        </w:rPr>
        <w:t xml:space="preserve">Product variety control numbers (PCN) within the framework of the anti-dumping investigation regarding the import into Ukraine of radiators for heating originating from the Republic of </w:t>
      </w:r>
      <w:r w:rsidR="00D2236A">
        <w:rPr>
          <w:bCs w:val="0"/>
        </w:rPr>
        <w:t>Türkiye</w:t>
      </w:r>
      <w:r w:rsidRPr="000A010D">
        <w:rPr>
          <w:bCs w:val="0"/>
        </w:rPr>
        <w:t xml:space="preserve"> and the People's Republic of China</w:t>
      </w: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69"/>
        <w:gridCol w:w="3167"/>
        <w:gridCol w:w="3169"/>
      </w:tblGrid>
      <w:tr w:rsidR="0025497D">
        <w:trPr>
          <w:trHeight w:val="832"/>
        </w:trPr>
        <w:tc>
          <w:tcPr>
            <w:tcW w:w="3169" w:type="dxa"/>
            <w:tcBorders>
              <w:left w:val="single" w:sz="12" w:space="0" w:color="000000"/>
              <w:bottom w:val="single" w:sz="12" w:space="0" w:color="000000"/>
              <w:right w:val="single" w:sz="12" w:space="0" w:color="000000"/>
            </w:tcBorders>
            <w:shd w:val="clear" w:color="auto" w:fill="D9D9D9"/>
          </w:tcPr>
          <w:p w:rsidR="0025497D" w:rsidRDefault="000A010D" w:rsidP="000A010D">
            <w:pPr>
              <w:pStyle w:val="TableParagraph"/>
              <w:spacing w:before="213"/>
              <w:ind w:left="250" w:right="0"/>
              <w:jc w:val="left"/>
              <w:rPr>
                <w:b/>
                <w:sz w:val="24"/>
              </w:rPr>
            </w:pPr>
            <w:r w:rsidRPr="000A010D">
              <w:rPr>
                <w:b/>
                <w:sz w:val="24"/>
              </w:rPr>
              <w:t xml:space="preserve">Product characteristics </w:t>
            </w:r>
          </w:p>
        </w:tc>
        <w:tc>
          <w:tcPr>
            <w:tcW w:w="3167" w:type="dxa"/>
            <w:tcBorders>
              <w:left w:val="single" w:sz="12" w:space="0" w:color="000000"/>
              <w:bottom w:val="single" w:sz="12" w:space="0" w:color="000000"/>
              <w:right w:val="single" w:sz="12" w:space="0" w:color="000000"/>
            </w:tcBorders>
            <w:shd w:val="clear" w:color="auto" w:fill="D9D9D9"/>
          </w:tcPr>
          <w:p w:rsidR="0025497D" w:rsidRDefault="000A010D">
            <w:pPr>
              <w:pStyle w:val="TableParagraph"/>
              <w:spacing w:before="213"/>
              <w:rPr>
                <w:b/>
                <w:sz w:val="24"/>
              </w:rPr>
            </w:pPr>
            <w:r w:rsidRPr="000A010D">
              <w:rPr>
                <w:b/>
                <w:sz w:val="24"/>
              </w:rPr>
              <w:t>Classification</w:t>
            </w:r>
          </w:p>
        </w:tc>
        <w:tc>
          <w:tcPr>
            <w:tcW w:w="3169" w:type="dxa"/>
            <w:tcBorders>
              <w:left w:val="single" w:sz="12" w:space="0" w:color="000000"/>
              <w:bottom w:val="single" w:sz="12" w:space="0" w:color="000000"/>
              <w:right w:val="single" w:sz="12" w:space="0" w:color="000000"/>
            </w:tcBorders>
            <w:shd w:val="clear" w:color="auto" w:fill="D9D9D9"/>
          </w:tcPr>
          <w:p w:rsidR="0025497D" w:rsidRDefault="000A010D">
            <w:pPr>
              <w:pStyle w:val="TableParagraph"/>
              <w:spacing w:before="213"/>
              <w:ind w:left="59" w:right="47"/>
              <w:rPr>
                <w:b/>
                <w:sz w:val="24"/>
              </w:rPr>
            </w:pPr>
            <w:r w:rsidRPr="000A010D">
              <w:rPr>
                <w:b/>
                <w:sz w:val="24"/>
              </w:rPr>
              <w:t>Code</w:t>
            </w:r>
          </w:p>
        </w:tc>
      </w:tr>
      <w:tr w:rsidR="000A010D" w:rsidTr="000A010D">
        <w:trPr>
          <w:trHeight w:val="515"/>
        </w:trPr>
        <w:tc>
          <w:tcPr>
            <w:tcW w:w="3169" w:type="dxa"/>
            <w:vMerge w:val="restart"/>
            <w:tcBorders>
              <w:top w:val="single" w:sz="12" w:space="0" w:color="000000"/>
              <w:left w:val="single" w:sz="12" w:space="0" w:color="000000"/>
              <w:bottom w:val="single" w:sz="12" w:space="0" w:color="000000"/>
              <w:right w:val="single" w:sz="12" w:space="0" w:color="000000"/>
            </w:tcBorders>
            <w:vAlign w:val="center"/>
          </w:tcPr>
          <w:p w:rsidR="000A010D" w:rsidRPr="00D85FEE" w:rsidRDefault="000A010D" w:rsidP="000A010D">
            <w:pPr>
              <w:jc w:val="center"/>
            </w:pPr>
            <w:r w:rsidRPr="00D85FEE">
              <w:t>Material</w:t>
            </w:r>
          </w:p>
          <w:p w:rsidR="000A010D" w:rsidRPr="00D85FEE" w:rsidRDefault="000A010D" w:rsidP="000A010D">
            <w:pPr>
              <w:jc w:val="center"/>
            </w:pPr>
          </w:p>
        </w:tc>
        <w:tc>
          <w:tcPr>
            <w:tcW w:w="3167" w:type="dxa"/>
            <w:tcBorders>
              <w:top w:val="single" w:sz="12" w:space="0" w:color="000000"/>
              <w:left w:val="single" w:sz="12" w:space="0" w:color="000000"/>
              <w:bottom w:val="single" w:sz="12" w:space="0" w:color="000000"/>
              <w:right w:val="single" w:sz="12" w:space="0" w:color="000000"/>
            </w:tcBorders>
          </w:tcPr>
          <w:p w:rsidR="000A010D" w:rsidRPr="00680DCB" w:rsidRDefault="000A010D" w:rsidP="000A010D">
            <w:pPr>
              <w:jc w:val="center"/>
            </w:pPr>
            <w:r w:rsidRPr="00680DCB">
              <w:t>Steel</w:t>
            </w:r>
          </w:p>
        </w:tc>
        <w:tc>
          <w:tcPr>
            <w:tcW w:w="3169" w:type="dxa"/>
            <w:tcBorders>
              <w:top w:val="single" w:sz="12" w:space="0" w:color="000000"/>
              <w:left w:val="single" w:sz="12" w:space="0" w:color="000000"/>
              <w:bottom w:val="single" w:sz="12" w:space="0" w:color="000000"/>
              <w:right w:val="single" w:sz="12" w:space="0" w:color="000000"/>
            </w:tcBorders>
            <w:shd w:val="clear" w:color="auto" w:fill="DEEAF6"/>
          </w:tcPr>
          <w:p w:rsidR="000A010D" w:rsidRDefault="000A010D" w:rsidP="000A010D">
            <w:pPr>
              <w:pStyle w:val="TableParagraph"/>
              <w:ind w:left="59" w:right="48"/>
              <w:rPr>
                <w:sz w:val="24"/>
              </w:rPr>
            </w:pPr>
            <w:r>
              <w:rPr>
                <w:spacing w:val="-5"/>
                <w:sz w:val="24"/>
              </w:rPr>
              <w:t>А01</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Pr="00680DCB" w:rsidRDefault="000A010D" w:rsidP="000A010D">
            <w:pPr>
              <w:jc w:val="center"/>
            </w:pPr>
            <w:r w:rsidRPr="00680DCB">
              <w:t>Aluminum</w:t>
            </w:r>
          </w:p>
        </w:tc>
        <w:tc>
          <w:tcPr>
            <w:tcW w:w="3169" w:type="dxa"/>
            <w:tcBorders>
              <w:top w:val="single" w:sz="12" w:space="0" w:color="000000"/>
              <w:left w:val="single" w:sz="12" w:space="0" w:color="000000"/>
              <w:bottom w:val="single" w:sz="12" w:space="0" w:color="000000"/>
              <w:right w:val="single" w:sz="12" w:space="0" w:color="000000"/>
            </w:tcBorders>
            <w:shd w:val="clear" w:color="auto" w:fill="DEEAF6"/>
          </w:tcPr>
          <w:p w:rsidR="000A010D" w:rsidRDefault="000A010D" w:rsidP="000A010D">
            <w:pPr>
              <w:pStyle w:val="TableParagraph"/>
              <w:ind w:left="59" w:right="48"/>
              <w:rPr>
                <w:sz w:val="24"/>
              </w:rPr>
            </w:pPr>
            <w:r>
              <w:rPr>
                <w:spacing w:val="-5"/>
                <w:sz w:val="24"/>
              </w:rPr>
              <w:t>А02</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jc w:val="center"/>
            </w:pPr>
            <w:r w:rsidRPr="00680DCB">
              <w:t>Bimetallic</w:t>
            </w:r>
          </w:p>
        </w:tc>
        <w:tc>
          <w:tcPr>
            <w:tcW w:w="3169" w:type="dxa"/>
            <w:tcBorders>
              <w:top w:val="single" w:sz="12" w:space="0" w:color="000000"/>
              <w:left w:val="single" w:sz="12" w:space="0" w:color="000000"/>
              <w:bottom w:val="single" w:sz="12" w:space="0" w:color="000000"/>
              <w:right w:val="single" w:sz="12" w:space="0" w:color="000000"/>
            </w:tcBorders>
            <w:shd w:val="clear" w:color="auto" w:fill="DEEAF6"/>
          </w:tcPr>
          <w:p w:rsidR="000A010D" w:rsidRDefault="000A010D" w:rsidP="000A010D">
            <w:pPr>
              <w:pStyle w:val="TableParagraph"/>
              <w:ind w:left="59" w:right="48"/>
              <w:rPr>
                <w:sz w:val="24"/>
              </w:rPr>
            </w:pPr>
            <w:r>
              <w:rPr>
                <w:spacing w:val="-5"/>
                <w:sz w:val="24"/>
              </w:rPr>
              <w:t>А03</w:t>
            </w:r>
          </w:p>
        </w:tc>
      </w:tr>
      <w:tr w:rsidR="000A010D" w:rsidTr="000A010D">
        <w:trPr>
          <w:trHeight w:val="515"/>
        </w:trPr>
        <w:tc>
          <w:tcPr>
            <w:tcW w:w="3169" w:type="dxa"/>
            <w:vMerge w:val="restart"/>
            <w:tcBorders>
              <w:top w:val="single" w:sz="12" w:space="0" w:color="000000"/>
              <w:left w:val="single" w:sz="12" w:space="0" w:color="000000"/>
              <w:bottom w:val="single" w:sz="12" w:space="0" w:color="000000"/>
              <w:right w:val="single" w:sz="12" w:space="0" w:color="000000"/>
            </w:tcBorders>
            <w:vAlign w:val="center"/>
          </w:tcPr>
          <w:p w:rsidR="000A010D" w:rsidRPr="00D85FEE" w:rsidRDefault="000A010D" w:rsidP="000A010D"/>
          <w:p w:rsidR="000A010D" w:rsidRPr="00D85FEE" w:rsidRDefault="000A010D" w:rsidP="000A010D">
            <w:pPr>
              <w:jc w:val="center"/>
            </w:pPr>
            <w:r w:rsidRPr="00D85FEE">
              <w:t>Height, mm</w:t>
            </w:r>
          </w:p>
          <w:p w:rsidR="000A010D" w:rsidRPr="00D85FEE" w:rsidRDefault="000A010D" w:rsidP="000A010D"/>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ind w:right="7"/>
              <w:rPr>
                <w:sz w:val="24"/>
              </w:rPr>
            </w:pPr>
            <w:r>
              <w:rPr>
                <w:spacing w:val="-4"/>
                <w:sz w:val="24"/>
              </w:rPr>
              <w:t>&lt;200</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B01</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spacing w:before="60"/>
              <w:rPr>
                <w:sz w:val="24"/>
              </w:rPr>
            </w:pPr>
            <w:r>
              <w:rPr>
                <w:sz w:val="24"/>
              </w:rPr>
              <w:t>200-</w:t>
            </w:r>
            <w:r>
              <w:rPr>
                <w:spacing w:val="-5"/>
                <w:sz w:val="24"/>
              </w:rPr>
              <w:t>299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spacing w:before="60"/>
              <w:ind w:left="62" w:right="46"/>
              <w:rPr>
                <w:sz w:val="24"/>
              </w:rPr>
            </w:pPr>
            <w:r>
              <w:rPr>
                <w:spacing w:val="-5"/>
                <w:sz w:val="24"/>
              </w:rPr>
              <w:t>B02</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rPr>
                <w:sz w:val="24"/>
              </w:rPr>
            </w:pPr>
            <w:r>
              <w:rPr>
                <w:sz w:val="24"/>
              </w:rPr>
              <w:t>300-</w:t>
            </w:r>
            <w:r>
              <w:rPr>
                <w:spacing w:val="-5"/>
                <w:sz w:val="24"/>
              </w:rPr>
              <w:t>399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B03</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rPr>
                <w:sz w:val="24"/>
              </w:rPr>
            </w:pPr>
            <w:r>
              <w:rPr>
                <w:sz w:val="24"/>
              </w:rPr>
              <w:t>400-</w:t>
            </w:r>
            <w:r>
              <w:rPr>
                <w:spacing w:val="-5"/>
                <w:sz w:val="24"/>
              </w:rPr>
              <w:t>499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B04</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rPr>
                <w:sz w:val="24"/>
              </w:rPr>
            </w:pPr>
            <w:r>
              <w:rPr>
                <w:sz w:val="24"/>
              </w:rPr>
              <w:t>500-</w:t>
            </w:r>
            <w:r>
              <w:rPr>
                <w:spacing w:val="-5"/>
                <w:sz w:val="24"/>
              </w:rPr>
              <w:t>599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B05</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rPr>
                <w:sz w:val="24"/>
              </w:rPr>
            </w:pPr>
            <w:r>
              <w:rPr>
                <w:sz w:val="24"/>
              </w:rPr>
              <w:t>600-</w:t>
            </w:r>
            <w:r>
              <w:rPr>
                <w:spacing w:val="-5"/>
                <w:sz w:val="24"/>
              </w:rPr>
              <w:t>699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B06</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rPr>
                <w:sz w:val="24"/>
              </w:rPr>
            </w:pPr>
            <w:r>
              <w:rPr>
                <w:sz w:val="24"/>
              </w:rPr>
              <w:t>700-</w:t>
            </w:r>
            <w:r>
              <w:rPr>
                <w:spacing w:val="-5"/>
                <w:sz w:val="24"/>
              </w:rPr>
              <w:t>799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B07</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rPr>
                <w:sz w:val="24"/>
              </w:rPr>
            </w:pPr>
            <w:r>
              <w:rPr>
                <w:sz w:val="24"/>
              </w:rPr>
              <w:t>800-</w:t>
            </w:r>
            <w:r>
              <w:rPr>
                <w:spacing w:val="-5"/>
                <w:sz w:val="24"/>
              </w:rPr>
              <w:t>899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B08</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rPr>
                <w:sz w:val="24"/>
              </w:rPr>
            </w:pPr>
            <w:r>
              <w:rPr>
                <w:sz w:val="24"/>
              </w:rPr>
              <w:t>900-</w:t>
            </w:r>
            <w:r>
              <w:rPr>
                <w:spacing w:val="-5"/>
                <w:sz w:val="24"/>
              </w:rPr>
              <w:t>999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B09</w:t>
            </w:r>
          </w:p>
        </w:tc>
      </w:tr>
      <w:tr w:rsidR="000A010D" w:rsidTr="000A010D">
        <w:trPr>
          <w:trHeight w:val="515"/>
        </w:trPr>
        <w:tc>
          <w:tcPr>
            <w:tcW w:w="3169" w:type="dxa"/>
            <w:vMerge/>
            <w:tcBorders>
              <w:top w:val="nil"/>
              <w:left w:val="single" w:sz="12" w:space="0" w:color="000000"/>
              <w:bottom w:val="single" w:sz="12" w:space="0" w:color="000000"/>
              <w:right w:val="single" w:sz="12" w:space="0" w:color="000000"/>
            </w:tcBorders>
            <w:vAlign w:val="center"/>
          </w:tcPr>
          <w:p w:rsidR="000A010D" w:rsidRDefault="000A010D" w:rsidP="000A010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ind w:right="7"/>
              <w:rPr>
                <w:sz w:val="24"/>
              </w:rPr>
            </w:pPr>
            <w:r>
              <w:rPr>
                <w:spacing w:val="-4"/>
                <w:sz w:val="24"/>
              </w:rPr>
              <w:t>&gt;999</w:t>
            </w:r>
          </w:p>
        </w:tc>
        <w:tc>
          <w:tcPr>
            <w:tcW w:w="3169" w:type="dxa"/>
            <w:tcBorders>
              <w:top w:val="single" w:sz="12" w:space="0" w:color="000000"/>
              <w:left w:val="single" w:sz="12" w:space="0" w:color="000000"/>
              <w:bottom w:val="single" w:sz="12" w:space="0" w:color="000000"/>
              <w:right w:val="single" w:sz="12" w:space="0" w:color="000000"/>
            </w:tcBorders>
            <w:shd w:val="clear" w:color="auto" w:fill="FFF1CC"/>
          </w:tcPr>
          <w:p w:rsidR="000A010D" w:rsidRDefault="000A010D" w:rsidP="000A010D">
            <w:pPr>
              <w:pStyle w:val="TableParagraph"/>
              <w:ind w:left="62" w:right="46"/>
              <w:rPr>
                <w:sz w:val="24"/>
              </w:rPr>
            </w:pPr>
            <w:r>
              <w:rPr>
                <w:spacing w:val="-5"/>
                <w:sz w:val="24"/>
              </w:rPr>
              <w:t>B10</w:t>
            </w:r>
          </w:p>
        </w:tc>
      </w:tr>
      <w:tr w:rsidR="000A010D" w:rsidTr="000A010D">
        <w:trPr>
          <w:trHeight w:val="515"/>
        </w:trPr>
        <w:tc>
          <w:tcPr>
            <w:tcW w:w="3169" w:type="dxa"/>
            <w:vMerge w:val="restart"/>
            <w:tcBorders>
              <w:top w:val="single" w:sz="12" w:space="0" w:color="000000"/>
              <w:left w:val="single" w:sz="12" w:space="0" w:color="000000"/>
              <w:bottom w:val="single" w:sz="6" w:space="0" w:color="000000"/>
              <w:right w:val="single" w:sz="12" w:space="0" w:color="000000"/>
            </w:tcBorders>
            <w:vAlign w:val="center"/>
          </w:tcPr>
          <w:p w:rsidR="000A010D" w:rsidRPr="00D85FEE" w:rsidRDefault="000A010D" w:rsidP="000A010D">
            <w:pPr>
              <w:jc w:val="center"/>
            </w:pPr>
            <w:r>
              <w:rPr>
                <w:rStyle w:val="rynqvb"/>
                <w:lang w:val="en"/>
              </w:rPr>
              <w:t>Length, mm (for steel radiators)</w:t>
            </w:r>
          </w:p>
        </w:tc>
        <w:tc>
          <w:tcPr>
            <w:tcW w:w="3167" w:type="dxa"/>
            <w:tcBorders>
              <w:top w:val="single" w:sz="12" w:space="0" w:color="000000"/>
              <w:left w:val="single" w:sz="12" w:space="0" w:color="000000"/>
              <w:bottom w:val="single" w:sz="12" w:space="0" w:color="000000"/>
              <w:right w:val="single" w:sz="12" w:space="0" w:color="000000"/>
            </w:tcBorders>
          </w:tcPr>
          <w:p w:rsidR="000A010D" w:rsidRDefault="000A010D" w:rsidP="000A010D">
            <w:pPr>
              <w:pStyle w:val="TableParagraph"/>
              <w:ind w:right="7"/>
              <w:rPr>
                <w:sz w:val="24"/>
              </w:rPr>
            </w:pPr>
            <w:r>
              <w:rPr>
                <w:spacing w:val="-4"/>
                <w:sz w:val="24"/>
              </w:rPr>
              <w:t>&lt;400</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0A010D" w:rsidRDefault="000A010D" w:rsidP="000A010D">
            <w:pPr>
              <w:pStyle w:val="TableParagraph"/>
              <w:ind w:left="62" w:right="46"/>
              <w:rPr>
                <w:sz w:val="24"/>
              </w:rPr>
            </w:pPr>
            <w:r>
              <w:rPr>
                <w:spacing w:val="-5"/>
                <w:sz w:val="24"/>
              </w:rPr>
              <w:t>C01</w:t>
            </w:r>
          </w:p>
        </w:tc>
      </w:tr>
      <w:tr w:rsidR="0025497D">
        <w:trPr>
          <w:trHeight w:val="515"/>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400-</w:t>
            </w:r>
            <w:r>
              <w:rPr>
                <w:spacing w:val="-5"/>
                <w:sz w:val="24"/>
              </w:rPr>
              <w:t>499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С02</w:t>
            </w:r>
          </w:p>
        </w:tc>
      </w:tr>
      <w:tr w:rsidR="0025497D">
        <w:trPr>
          <w:trHeight w:val="514"/>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500-</w:t>
            </w:r>
            <w:r>
              <w:rPr>
                <w:spacing w:val="-5"/>
                <w:sz w:val="24"/>
              </w:rPr>
              <w:t>599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С03</w:t>
            </w:r>
          </w:p>
        </w:tc>
      </w:tr>
      <w:tr w:rsidR="0025497D">
        <w:trPr>
          <w:trHeight w:val="515"/>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600-</w:t>
            </w:r>
            <w:r>
              <w:rPr>
                <w:spacing w:val="-5"/>
                <w:sz w:val="24"/>
              </w:rPr>
              <w:t>699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С04</w:t>
            </w:r>
          </w:p>
        </w:tc>
      </w:tr>
      <w:tr w:rsidR="0025497D">
        <w:trPr>
          <w:trHeight w:val="515"/>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700-</w:t>
            </w:r>
            <w:r>
              <w:rPr>
                <w:spacing w:val="-5"/>
                <w:sz w:val="24"/>
              </w:rPr>
              <w:t>799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С05</w:t>
            </w:r>
          </w:p>
        </w:tc>
      </w:tr>
      <w:tr w:rsidR="0025497D">
        <w:trPr>
          <w:trHeight w:val="515"/>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800-</w:t>
            </w:r>
            <w:r>
              <w:rPr>
                <w:spacing w:val="-5"/>
                <w:sz w:val="24"/>
              </w:rPr>
              <w:t>899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С06</w:t>
            </w:r>
          </w:p>
        </w:tc>
      </w:tr>
      <w:tr w:rsidR="0025497D">
        <w:trPr>
          <w:trHeight w:val="515"/>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900-</w:t>
            </w:r>
            <w:r>
              <w:rPr>
                <w:spacing w:val="-5"/>
                <w:sz w:val="24"/>
              </w:rPr>
              <w:t>999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С07</w:t>
            </w:r>
          </w:p>
        </w:tc>
      </w:tr>
      <w:tr w:rsidR="0025497D">
        <w:trPr>
          <w:trHeight w:val="515"/>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1000-</w:t>
            </w:r>
            <w:r>
              <w:rPr>
                <w:spacing w:val="-4"/>
                <w:sz w:val="24"/>
              </w:rPr>
              <w:t>1099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С08</w:t>
            </w:r>
          </w:p>
        </w:tc>
      </w:tr>
      <w:tr w:rsidR="0025497D">
        <w:trPr>
          <w:trHeight w:val="522"/>
        </w:trPr>
        <w:tc>
          <w:tcPr>
            <w:tcW w:w="3169" w:type="dxa"/>
            <w:vMerge/>
            <w:tcBorders>
              <w:top w:val="nil"/>
              <w:left w:val="single" w:sz="12" w:space="0" w:color="000000"/>
              <w:bottom w:val="single" w:sz="6"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1100-</w:t>
            </w:r>
            <w:r>
              <w:rPr>
                <w:spacing w:val="-4"/>
                <w:sz w:val="24"/>
              </w:rPr>
              <w:t>1199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С09</w:t>
            </w:r>
          </w:p>
        </w:tc>
      </w:tr>
    </w:tbl>
    <w:p w:rsidR="0025497D" w:rsidRDefault="0025497D">
      <w:pPr>
        <w:rPr>
          <w:sz w:val="24"/>
        </w:rPr>
        <w:sectPr w:rsidR="0025497D">
          <w:type w:val="continuous"/>
          <w:pgSz w:w="11910" w:h="16840"/>
          <w:pgMar w:top="1060" w:right="640" w:bottom="1164" w:left="1500" w:header="720" w:footer="720" w:gutter="0"/>
          <w:cols w:space="720"/>
        </w:sectPr>
      </w:pPr>
    </w:p>
    <w:tbl>
      <w:tblPr>
        <w:tblStyle w:val="TableNormal"/>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3167"/>
        <w:gridCol w:w="3169"/>
      </w:tblGrid>
      <w:tr w:rsidR="0025497D">
        <w:trPr>
          <w:trHeight w:val="515"/>
        </w:trPr>
        <w:tc>
          <w:tcPr>
            <w:tcW w:w="3169" w:type="dxa"/>
            <w:vMerge w:val="restart"/>
            <w:tcBorders>
              <w:left w:val="single" w:sz="12" w:space="0" w:color="000000"/>
              <w:right w:val="single" w:sz="12" w:space="0" w:color="000000"/>
            </w:tcBorders>
          </w:tcPr>
          <w:p w:rsidR="0025497D" w:rsidRDefault="0025497D">
            <w:pPr>
              <w:pStyle w:val="TableParagraph"/>
              <w:spacing w:before="0"/>
              <w:ind w:left="0" w:right="0"/>
              <w:jc w:val="left"/>
              <w:rPr>
                <w:sz w:val="24"/>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1200-</w:t>
            </w:r>
            <w:r>
              <w:rPr>
                <w:spacing w:val="-4"/>
                <w:sz w:val="24"/>
              </w:rPr>
              <w:t>1299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С10</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1300-</w:t>
            </w:r>
            <w:r>
              <w:rPr>
                <w:spacing w:val="-4"/>
                <w:sz w:val="24"/>
              </w:rPr>
              <w:t>1399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С11</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1400-</w:t>
            </w:r>
            <w:r>
              <w:rPr>
                <w:spacing w:val="-4"/>
                <w:sz w:val="24"/>
              </w:rPr>
              <w:t>1499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С12</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1500-</w:t>
            </w:r>
            <w:r>
              <w:rPr>
                <w:spacing w:val="-4"/>
                <w:sz w:val="24"/>
              </w:rPr>
              <w:t>1599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C13</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1600-</w:t>
            </w:r>
            <w:r>
              <w:rPr>
                <w:spacing w:val="-4"/>
                <w:sz w:val="24"/>
              </w:rPr>
              <w:t>1699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C14</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1700-</w:t>
            </w:r>
            <w:r>
              <w:rPr>
                <w:spacing w:val="-4"/>
                <w:sz w:val="24"/>
              </w:rPr>
              <w:t>1799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C15</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1800-</w:t>
            </w:r>
            <w:r>
              <w:rPr>
                <w:spacing w:val="-4"/>
                <w:sz w:val="24"/>
              </w:rPr>
              <w:t>1899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C16</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1900-</w:t>
            </w:r>
            <w:r>
              <w:rPr>
                <w:spacing w:val="-4"/>
                <w:sz w:val="24"/>
              </w:rPr>
              <w:t>1999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C17</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spacing w:before="60"/>
              <w:rPr>
                <w:sz w:val="24"/>
              </w:rPr>
            </w:pPr>
            <w:r>
              <w:rPr>
                <w:sz w:val="24"/>
              </w:rPr>
              <w:t>2000-</w:t>
            </w:r>
            <w:r>
              <w:rPr>
                <w:spacing w:val="-4"/>
                <w:sz w:val="24"/>
              </w:rPr>
              <w:t>2099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spacing w:before="60"/>
              <w:ind w:left="62" w:right="46"/>
              <w:rPr>
                <w:sz w:val="24"/>
              </w:rPr>
            </w:pPr>
            <w:r>
              <w:rPr>
                <w:spacing w:val="-5"/>
                <w:sz w:val="24"/>
              </w:rPr>
              <w:t>C18</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2100-</w:t>
            </w:r>
            <w:r>
              <w:rPr>
                <w:spacing w:val="-4"/>
                <w:sz w:val="24"/>
              </w:rPr>
              <w:t>2199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C19</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2200-</w:t>
            </w:r>
            <w:r>
              <w:rPr>
                <w:spacing w:val="-4"/>
                <w:sz w:val="24"/>
              </w:rPr>
              <w:t>2299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C20</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2300-</w:t>
            </w:r>
            <w:r>
              <w:rPr>
                <w:spacing w:val="-4"/>
                <w:sz w:val="24"/>
              </w:rPr>
              <w:t>2399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C21</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2400-</w:t>
            </w:r>
            <w:r>
              <w:rPr>
                <w:spacing w:val="-4"/>
                <w:sz w:val="24"/>
              </w:rPr>
              <w:t>2499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C22</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2500-</w:t>
            </w:r>
            <w:r>
              <w:rPr>
                <w:spacing w:val="-4"/>
                <w:sz w:val="24"/>
              </w:rPr>
              <w:t>2599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C23</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2600-</w:t>
            </w:r>
            <w:r>
              <w:rPr>
                <w:spacing w:val="-4"/>
                <w:sz w:val="24"/>
              </w:rPr>
              <w:t>2699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C24</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2700-</w:t>
            </w:r>
            <w:r>
              <w:rPr>
                <w:spacing w:val="-4"/>
                <w:sz w:val="24"/>
              </w:rPr>
              <w:t>2799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C25</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2800-</w:t>
            </w:r>
            <w:r>
              <w:rPr>
                <w:spacing w:val="-4"/>
                <w:sz w:val="24"/>
              </w:rPr>
              <w:t>2899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C26</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2900-</w:t>
            </w:r>
            <w:r>
              <w:rPr>
                <w:spacing w:val="-4"/>
                <w:sz w:val="24"/>
              </w:rPr>
              <w:t>2999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C27</w:t>
            </w:r>
          </w:p>
        </w:tc>
      </w:tr>
      <w:tr w:rsidR="0025497D">
        <w:trPr>
          <w:trHeight w:val="515"/>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3000-</w:t>
            </w:r>
            <w:r>
              <w:rPr>
                <w:spacing w:val="-4"/>
                <w:sz w:val="24"/>
              </w:rPr>
              <w:t>3099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C28</w:t>
            </w:r>
          </w:p>
        </w:tc>
      </w:tr>
      <w:tr w:rsidR="0025497D">
        <w:trPr>
          <w:trHeight w:val="522"/>
        </w:trPr>
        <w:tc>
          <w:tcPr>
            <w:tcW w:w="3169" w:type="dxa"/>
            <w:vMerge/>
            <w:tcBorders>
              <w:top w:val="nil"/>
              <w:left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ind w:right="7"/>
              <w:rPr>
                <w:sz w:val="24"/>
              </w:rPr>
            </w:pPr>
            <w:r>
              <w:rPr>
                <w:spacing w:val="-2"/>
                <w:sz w:val="24"/>
              </w:rPr>
              <w:t>&gt;3099</w:t>
            </w:r>
          </w:p>
        </w:tc>
        <w:tc>
          <w:tcPr>
            <w:tcW w:w="3169" w:type="dxa"/>
            <w:tcBorders>
              <w:top w:val="single" w:sz="12" w:space="0" w:color="000000"/>
              <w:left w:val="single" w:sz="12" w:space="0" w:color="000000"/>
              <w:bottom w:val="single" w:sz="12" w:space="0" w:color="000000"/>
              <w:right w:val="single" w:sz="12" w:space="0" w:color="000000"/>
            </w:tcBorders>
            <w:shd w:val="clear" w:color="auto" w:fill="F7C9AC"/>
          </w:tcPr>
          <w:p w:rsidR="0025497D" w:rsidRDefault="00101C89">
            <w:pPr>
              <w:pStyle w:val="TableParagraph"/>
              <w:ind w:left="62" w:right="46"/>
              <w:rPr>
                <w:sz w:val="24"/>
              </w:rPr>
            </w:pPr>
            <w:r>
              <w:rPr>
                <w:spacing w:val="-5"/>
                <w:sz w:val="24"/>
              </w:rPr>
              <w:t>C29</w:t>
            </w:r>
          </w:p>
        </w:tc>
      </w:tr>
      <w:tr w:rsidR="0025497D">
        <w:trPr>
          <w:trHeight w:val="507"/>
        </w:trPr>
        <w:tc>
          <w:tcPr>
            <w:tcW w:w="3169" w:type="dxa"/>
            <w:vMerge w:val="restart"/>
            <w:tcBorders>
              <w:left w:val="single" w:sz="12" w:space="0" w:color="000000"/>
              <w:bottom w:val="single" w:sz="12" w:space="0" w:color="000000"/>
              <w:right w:val="single" w:sz="12" w:space="0" w:color="000000"/>
            </w:tcBorders>
          </w:tcPr>
          <w:p w:rsidR="0025497D" w:rsidRDefault="0025497D">
            <w:pPr>
              <w:pStyle w:val="TableParagraph"/>
              <w:spacing w:before="0"/>
              <w:ind w:left="0" w:right="0"/>
              <w:jc w:val="left"/>
              <w:rPr>
                <w:b/>
                <w:sz w:val="24"/>
              </w:rPr>
            </w:pPr>
          </w:p>
          <w:p w:rsidR="0025497D" w:rsidRPr="000A010D" w:rsidRDefault="000A010D">
            <w:pPr>
              <w:pStyle w:val="TableParagraph"/>
              <w:spacing w:before="0"/>
              <w:ind w:left="59" w:right="46"/>
              <w:rPr>
                <w:sz w:val="24"/>
              </w:rPr>
            </w:pPr>
            <w:r w:rsidRPr="000A010D">
              <w:rPr>
                <w:sz w:val="24"/>
              </w:rPr>
              <w:t>Number of heating convectors, number of panels (for steel radiators)</w:t>
            </w:r>
          </w:p>
        </w:tc>
        <w:tc>
          <w:tcPr>
            <w:tcW w:w="3167" w:type="dxa"/>
            <w:tcBorders>
              <w:top w:val="single" w:sz="12" w:space="0" w:color="000000"/>
              <w:left w:val="single" w:sz="12" w:space="0" w:color="000000"/>
              <w:bottom w:val="single" w:sz="12" w:space="0" w:color="000000"/>
              <w:right w:val="single" w:sz="12" w:space="0" w:color="000000"/>
            </w:tcBorders>
          </w:tcPr>
          <w:p w:rsidR="0025497D" w:rsidRDefault="000A010D">
            <w:pPr>
              <w:pStyle w:val="TableParagraph"/>
              <w:spacing w:before="53"/>
              <w:ind w:right="11"/>
              <w:rPr>
                <w:sz w:val="24"/>
              </w:rPr>
            </w:pPr>
            <w:r w:rsidRPr="000A010D">
              <w:rPr>
                <w:sz w:val="24"/>
              </w:rPr>
              <w:t>Without convectors</w:t>
            </w:r>
          </w:p>
        </w:tc>
        <w:tc>
          <w:tcPr>
            <w:tcW w:w="3169" w:type="dxa"/>
            <w:tcBorders>
              <w:top w:val="single" w:sz="12" w:space="0" w:color="000000"/>
              <w:left w:val="single" w:sz="12" w:space="0" w:color="000000"/>
              <w:bottom w:val="single" w:sz="12" w:space="0" w:color="000000"/>
              <w:right w:val="single" w:sz="12" w:space="0" w:color="000000"/>
            </w:tcBorders>
            <w:shd w:val="clear" w:color="auto" w:fill="D9E1F3"/>
          </w:tcPr>
          <w:p w:rsidR="0025497D" w:rsidRDefault="00101C89">
            <w:pPr>
              <w:pStyle w:val="TableParagraph"/>
              <w:spacing w:before="53"/>
              <w:ind w:left="59" w:right="48"/>
              <w:rPr>
                <w:sz w:val="24"/>
              </w:rPr>
            </w:pPr>
            <w:r>
              <w:rPr>
                <w:spacing w:val="-5"/>
                <w:sz w:val="24"/>
              </w:rPr>
              <w:t>D01</w:t>
            </w:r>
          </w:p>
        </w:tc>
      </w:tr>
      <w:tr w:rsidR="0025497D">
        <w:trPr>
          <w:trHeight w:val="515"/>
        </w:trPr>
        <w:tc>
          <w:tcPr>
            <w:tcW w:w="3169"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pacing w:val="-10"/>
                <w:sz w:val="24"/>
              </w:rPr>
              <w:t>1</w:t>
            </w:r>
          </w:p>
        </w:tc>
        <w:tc>
          <w:tcPr>
            <w:tcW w:w="3169" w:type="dxa"/>
            <w:tcBorders>
              <w:top w:val="single" w:sz="12" w:space="0" w:color="000000"/>
              <w:left w:val="single" w:sz="12" w:space="0" w:color="000000"/>
              <w:bottom w:val="single" w:sz="12" w:space="0" w:color="000000"/>
              <w:right w:val="single" w:sz="12" w:space="0" w:color="000000"/>
            </w:tcBorders>
            <w:shd w:val="clear" w:color="auto" w:fill="D9E1F3"/>
          </w:tcPr>
          <w:p w:rsidR="0025497D" w:rsidRDefault="00101C89">
            <w:pPr>
              <w:pStyle w:val="TableParagraph"/>
              <w:ind w:left="59" w:right="48"/>
              <w:rPr>
                <w:sz w:val="24"/>
              </w:rPr>
            </w:pPr>
            <w:r>
              <w:rPr>
                <w:spacing w:val="-5"/>
                <w:sz w:val="24"/>
              </w:rPr>
              <w:t>D02</w:t>
            </w:r>
          </w:p>
        </w:tc>
      </w:tr>
      <w:tr w:rsidR="0025497D">
        <w:trPr>
          <w:trHeight w:val="515"/>
        </w:trPr>
        <w:tc>
          <w:tcPr>
            <w:tcW w:w="3169"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pacing w:val="-10"/>
                <w:sz w:val="24"/>
              </w:rPr>
              <w:t>2</w:t>
            </w:r>
          </w:p>
        </w:tc>
        <w:tc>
          <w:tcPr>
            <w:tcW w:w="3169" w:type="dxa"/>
            <w:tcBorders>
              <w:top w:val="single" w:sz="12" w:space="0" w:color="000000"/>
              <w:left w:val="single" w:sz="12" w:space="0" w:color="000000"/>
              <w:bottom w:val="single" w:sz="12" w:space="0" w:color="000000"/>
              <w:right w:val="single" w:sz="12" w:space="0" w:color="000000"/>
            </w:tcBorders>
            <w:shd w:val="clear" w:color="auto" w:fill="D9E1F3"/>
          </w:tcPr>
          <w:p w:rsidR="0025497D" w:rsidRDefault="00101C89">
            <w:pPr>
              <w:pStyle w:val="TableParagraph"/>
              <w:ind w:left="59" w:right="48"/>
              <w:rPr>
                <w:sz w:val="24"/>
              </w:rPr>
            </w:pPr>
            <w:r>
              <w:rPr>
                <w:spacing w:val="-5"/>
                <w:sz w:val="24"/>
              </w:rPr>
              <w:t>D03</w:t>
            </w:r>
          </w:p>
        </w:tc>
      </w:tr>
      <w:tr w:rsidR="0025497D">
        <w:trPr>
          <w:trHeight w:val="515"/>
        </w:trPr>
        <w:tc>
          <w:tcPr>
            <w:tcW w:w="3169"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pacing w:val="-10"/>
                <w:sz w:val="24"/>
              </w:rPr>
              <w:t>3</w:t>
            </w:r>
          </w:p>
        </w:tc>
        <w:tc>
          <w:tcPr>
            <w:tcW w:w="3169" w:type="dxa"/>
            <w:tcBorders>
              <w:top w:val="single" w:sz="12" w:space="0" w:color="000000"/>
              <w:left w:val="single" w:sz="12" w:space="0" w:color="000000"/>
              <w:bottom w:val="single" w:sz="12" w:space="0" w:color="000000"/>
              <w:right w:val="single" w:sz="12" w:space="0" w:color="000000"/>
            </w:tcBorders>
            <w:shd w:val="clear" w:color="auto" w:fill="D9E1F3"/>
          </w:tcPr>
          <w:p w:rsidR="0025497D" w:rsidRDefault="00101C89">
            <w:pPr>
              <w:pStyle w:val="TableParagraph"/>
              <w:ind w:left="59" w:right="48"/>
              <w:rPr>
                <w:sz w:val="24"/>
              </w:rPr>
            </w:pPr>
            <w:r>
              <w:rPr>
                <w:spacing w:val="-5"/>
                <w:sz w:val="24"/>
              </w:rPr>
              <w:t>D04</w:t>
            </w:r>
          </w:p>
        </w:tc>
      </w:tr>
      <w:tr w:rsidR="0025497D">
        <w:trPr>
          <w:trHeight w:val="515"/>
        </w:trPr>
        <w:tc>
          <w:tcPr>
            <w:tcW w:w="3169"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ind w:right="8"/>
              <w:rPr>
                <w:sz w:val="24"/>
              </w:rPr>
            </w:pPr>
            <w:r>
              <w:rPr>
                <w:spacing w:val="-5"/>
                <w:sz w:val="24"/>
              </w:rPr>
              <w:t>&gt;3</w:t>
            </w:r>
          </w:p>
        </w:tc>
        <w:tc>
          <w:tcPr>
            <w:tcW w:w="3169" w:type="dxa"/>
            <w:tcBorders>
              <w:top w:val="single" w:sz="12" w:space="0" w:color="000000"/>
              <w:left w:val="single" w:sz="12" w:space="0" w:color="000000"/>
              <w:bottom w:val="single" w:sz="12" w:space="0" w:color="000000"/>
              <w:right w:val="single" w:sz="12" w:space="0" w:color="000000"/>
            </w:tcBorders>
            <w:shd w:val="clear" w:color="auto" w:fill="D9E1F3"/>
          </w:tcPr>
          <w:p w:rsidR="0025497D" w:rsidRDefault="00101C89">
            <w:pPr>
              <w:pStyle w:val="TableParagraph"/>
              <w:ind w:left="59" w:right="48"/>
              <w:rPr>
                <w:sz w:val="24"/>
              </w:rPr>
            </w:pPr>
            <w:r>
              <w:rPr>
                <w:spacing w:val="-5"/>
                <w:sz w:val="24"/>
              </w:rPr>
              <w:t>D05</w:t>
            </w:r>
          </w:p>
        </w:tc>
      </w:tr>
      <w:tr w:rsidR="0025497D">
        <w:trPr>
          <w:trHeight w:val="522"/>
        </w:trPr>
        <w:tc>
          <w:tcPr>
            <w:tcW w:w="3169" w:type="dxa"/>
            <w:tcBorders>
              <w:top w:val="single" w:sz="12" w:space="0" w:color="000000"/>
              <w:left w:val="single" w:sz="12" w:space="0" w:color="000000"/>
              <w:right w:val="single" w:sz="12" w:space="0" w:color="000000"/>
            </w:tcBorders>
          </w:tcPr>
          <w:p w:rsidR="0025497D" w:rsidRDefault="000A010D" w:rsidP="000A010D">
            <w:pPr>
              <w:pStyle w:val="TableParagraph"/>
              <w:spacing w:before="121"/>
              <w:ind w:left="570" w:right="0"/>
              <w:jc w:val="left"/>
              <w:rPr>
                <w:sz w:val="24"/>
              </w:rPr>
            </w:pPr>
            <w:r w:rsidRPr="000A010D">
              <w:rPr>
                <w:sz w:val="24"/>
              </w:rPr>
              <w:t>Section depth (for aluminum and bimetallic radiators), mm</w:t>
            </w: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ind w:right="7"/>
              <w:rPr>
                <w:sz w:val="24"/>
              </w:rPr>
            </w:pPr>
            <w:r>
              <w:rPr>
                <w:spacing w:val="-5"/>
                <w:sz w:val="24"/>
              </w:rPr>
              <w:t>&lt;70</w:t>
            </w:r>
          </w:p>
        </w:tc>
        <w:tc>
          <w:tcPr>
            <w:tcW w:w="3169" w:type="dxa"/>
            <w:tcBorders>
              <w:top w:val="single" w:sz="12" w:space="0" w:color="000000"/>
              <w:left w:val="single" w:sz="12" w:space="0" w:color="000000"/>
              <w:bottom w:val="single" w:sz="12" w:space="0" w:color="000000"/>
              <w:right w:val="single" w:sz="12" w:space="0" w:color="000000"/>
            </w:tcBorders>
            <w:shd w:val="clear" w:color="auto" w:fill="9CC2E4"/>
          </w:tcPr>
          <w:p w:rsidR="0025497D" w:rsidRDefault="00101C89">
            <w:pPr>
              <w:pStyle w:val="TableParagraph"/>
              <w:ind w:left="59" w:right="48"/>
              <w:rPr>
                <w:sz w:val="24"/>
              </w:rPr>
            </w:pPr>
            <w:r>
              <w:rPr>
                <w:spacing w:val="-5"/>
                <w:sz w:val="24"/>
              </w:rPr>
              <w:t>E01</w:t>
            </w:r>
          </w:p>
        </w:tc>
      </w:tr>
    </w:tbl>
    <w:p w:rsidR="0025497D" w:rsidRDefault="0025497D">
      <w:pPr>
        <w:rPr>
          <w:sz w:val="24"/>
        </w:rPr>
        <w:sectPr w:rsidR="0025497D">
          <w:type w:val="continuous"/>
          <w:pgSz w:w="11910" w:h="16840"/>
          <w:pgMar w:top="1120" w:right="640" w:bottom="280" w:left="1500" w:header="720" w:footer="720" w:gutter="0"/>
          <w:cols w:space="720"/>
        </w:sectPr>
      </w:pPr>
    </w:p>
    <w:p w:rsidR="0025497D" w:rsidRDefault="0025497D">
      <w:pPr>
        <w:pStyle w:val="GvdeMetni"/>
        <w:spacing w:before="5"/>
        <w:ind w:left="0" w:firstLine="0"/>
        <w:jc w:val="left"/>
        <w:rPr>
          <w:b/>
          <w:sz w:val="2"/>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4"/>
        <w:gridCol w:w="3167"/>
        <w:gridCol w:w="3169"/>
      </w:tblGrid>
      <w:tr w:rsidR="0025497D">
        <w:trPr>
          <w:trHeight w:val="522"/>
        </w:trPr>
        <w:tc>
          <w:tcPr>
            <w:tcW w:w="3174" w:type="dxa"/>
            <w:vMerge w:val="restart"/>
            <w:tcBorders>
              <w:left w:val="single" w:sz="12" w:space="0" w:color="000000"/>
              <w:bottom w:val="single" w:sz="12" w:space="0" w:color="000000"/>
              <w:right w:val="single" w:sz="12" w:space="0" w:color="000000"/>
            </w:tcBorders>
          </w:tcPr>
          <w:p w:rsidR="0025497D" w:rsidRDefault="0025497D">
            <w:pPr>
              <w:pStyle w:val="TableParagraph"/>
              <w:spacing w:before="68"/>
              <w:ind w:left="805" w:right="0" w:hanging="655"/>
              <w:jc w:val="left"/>
              <w:rPr>
                <w:sz w:val="24"/>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spacing w:before="68"/>
              <w:rPr>
                <w:sz w:val="24"/>
              </w:rPr>
            </w:pPr>
            <w:r>
              <w:rPr>
                <w:sz w:val="24"/>
              </w:rPr>
              <w:t>70-</w:t>
            </w:r>
            <w:r>
              <w:rPr>
                <w:spacing w:val="-5"/>
                <w:sz w:val="24"/>
              </w:rPr>
              <w:t>75</w:t>
            </w:r>
          </w:p>
        </w:tc>
        <w:tc>
          <w:tcPr>
            <w:tcW w:w="3169" w:type="dxa"/>
            <w:tcBorders>
              <w:top w:val="single" w:sz="12" w:space="0" w:color="000000"/>
              <w:left w:val="single" w:sz="12" w:space="0" w:color="000000"/>
              <w:bottom w:val="single" w:sz="12" w:space="0" w:color="000000"/>
              <w:right w:val="single" w:sz="12" w:space="0" w:color="000000"/>
            </w:tcBorders>
            <w:shd w:val="clear" w:color="auto" w:fill="9CC2E4"/>
          </w:tcPr>
          <w:p w:rsidR="0025497D" w:rsidRDefault="00101C89">
            <w:pPr>
              <w:pStyle w:val="TableParagraph"/>
              <w:spacing w:before="68"/>
              <w:ind w:left="59" w:right="48"/>
              <w:rPr>
                <w:sz w:val="24"/>
              </w:rPr>
            </w:pPr>
            <w:r>
              <w:rPr>
                <w:spacing w:val="-5"/>
                <w:sz w:val="24"/>
              </w:rPr>
              <w:t>E02</w:t>
            </w:r>
          </w:p>
        </w:tc>
      </w:tr>
      <w:tr w:rsidR="0025497D">
        <w:trPr>
          <w:trHeight w:val="515"/>
        </w:trPr>
        <w:tc>
          <w:tcPr>
            <w:tcW w:w="3174"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76-</w:t>
            </w:r>
            <w:r>
              <w:rPr>
                <w:spacing w:val="-5"/>
                <w:sz w:val="24"/>
              </w:rPr>
              <w:t>84</w:t>
            </w:r>
          </w:p>
        </w:tc>
        <w:tc>
          <w:tcPr>
            <w:tcW w:w="3169" w:type="dxa"/>
            <w:tcBorders>
              <w:top w:val="single" w:sz="12" w:space="0" w:color="000000"/>
              <w:left w:val="single" w:sz="12" w:space="0" w:color="000000"/>
              <w:bottom w:val="single" w:sz="12" w:space="0" w:color="000000"/>
              <w:right w:val="single" w:sz="12" w:space="0" w:color="000000"/>
            </w:tcBorders>
            <w:shd w:val="clear" w:color="auto" w:fill="9CC2E4"/>
          </w:tcPr>
          <w:p w:rsidR="0025497D" w:rsidRDefault="00101C89">
            <w:pPr>
              <w:pStyle w:val="TableParagraph"/>
              <w:ind w:left="59" w:right="48"/>
              <w:rPr>
                <w:sz w:val="24"/>
              </w:rPr>
            </w:pPr>
            <w:r>
              <w:rPr>
                <w:spacing w:val="-5"/>
                <w:sz w:val="24"/>
              </w:rPr>
              <w:t>E03</w:t>
            </w:r>
          </w:p>
        </w:tc>
      </w:tr>
      <w:tr w:rsidR="0025497D">
        <w:trPr>
          <w:trHeight w:val="515"/>
        </w:trPr>
        <w:tc>
          <w:tcPr>
            <w:tcW w:w="3174"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85-</w:t>
            </w:r>
            <w:r>
              <w:rPr>
                <w:spacing w:val="-5"/>
                <w:sz w:val="24"/>
              </w:rPr>
              <w:t>95</w:t>
            </w:r>
          </w:p>
        </w:tc>
        <w:tc>
          <w:tcPr>
            <w:tcW w:w="3169" w:type="dxa"/>
            <w:tcBorders>
              <w:top w:val="single" w:sz="12" w:space="0" w:color="000000"/>
              <w:left w:val="single" w:sz="12" w:space="0" w:color="000000"/>
              <w:bottom w:val="single" w:sz="12" w:space="0" w:color="000000"/>
              <w:right w:val="single" w:sz="12" w:space="0" w:color="000000"/>
            </w:tcBorders>
            <w:shd w:val="clear" w:color="auto" w:fill="9CC2E4"/>
          </w:tcPr>
          <w:p w:rsidR="0025497D" w:rsidRDefault="00101C89">
            <w:pPr>
              <w:pStyle w:val="TableParagraph"/>
              <w:ind w:left="59" w:right="48"/>
              <w:rPr>
                <w:sz w:val="24"/>
              </w:rPr>
            </w:pPr>
            <w:r>
              <w:rPr>
                <w:spacing w:val="-5"/>
                <w:sz w:val="24"/>
              </w:rPr>
              <w:t>E04</w:t>
            </w:r>
          </w:p>
        </w:tc>
      </w:tr>
      <w:tr w:rsidR="0025497D">
        <w:trPr>
          <w:trHeight w:val="515"/>
        </w:trPr>
        <w:tc>
          <w:tcPr>
            <w:tcW w:w="3174"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rPr>
                <w:sz w:val="24"/>
              </w:rPr>
            </w:pPr>
            <w:r>
              <w:rPr>
                <w:sz w:val="24"/>
              </w:rPr>
              <w:t>96-</w:t>
            </w:r>
            <w:r>
              <w:rPr>
                <w:spacing w:val="-5"/>
                <w:sz w:val="24"/>
              </w:rPr>
              <w:t>100</w:t>
            </w:r>
          </w:p>
        </w:tc>
        <w:tc>
          <w:tcPr>
            <w:tcW w:w="3169" w:type="dxa"/>
            <w:tcBorders>
              <w:top w:val="single" w:sz="12" w:space="0" w:color="000000"/>
              <w:left w:val="single" w:sz="12" w:space="0" w:color="000000"/>
              <w:bottom w:val="single" w:sz="12" w:space="0" w:color="000000"/>
              <w:right w:val="single" w:sz="12" w:space="0" w:color="000000"/>
            </w:tcBorders>
            <w:shd w:val="clear" w:color="auto" w:fill="9CC2E4"/>
          </w:tcPr>
          <w:p w:rsidR="0025497D" w:rsidRDefault="00101C89">
            <w:pPr>
              <w:pStyle w:val="TableParagraph"/>
              <w:ind w:left="59" w:right="48"/>
              <w:rPr>
                <w:sz w:val="24"/>
              </w:rPr>
            </w:pPr>
            <w:r>
              <w:rPr>
                <w:spacing w:val="-5"/>
                <w:sz w:val="24"/>
              </w:rPr>
              <w:t>E05</w:t>
            </w:r>
          </w:p>
        </w:tc>
      </w:tr>
      <w:tr w:rsidR="0025497D">
        <w:trPr>
          <w:trHeight w:val="515"/>
        </w:trPr>
        <w:tc>
          <w:tcPr>
            <w:tcW w:w="3174" w:type="dxa"/>
            <w:vMerge/>
            <w:tcBorders>
              <w:top w:val="nil"/>
              <w:left w:val="single" w:sz="12" w:space="0" w:color="000000"/>
              <w:bottom w:val="single" w:sz="12" w:space="0" w:color="000000"/>
              <w:right w:val="single" w:sz="12" w:space="0" w:color="000000"/>
            </w:tcBorders>
          </w:tcPr>
          <w:p w:rsidR="0025497D" w:rsidRDefault="0025497D">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25497D" w:rsidRDefault="00101C89">
            <w:pPr>
              <w:pStyle w:val="TableParagraph"/>
              <w:ind w:right="8"/>
              <w:rPr>
                <w:sz w:val="24"/>
              </w:rPr>
            </w:pPr>
            <w:r>
              <w:rPr>
                <w:spacing w:val="-4"/>
                <w:sz w:val="24"/>
              </w:rPr>
              <w:t>&gt;100</w:t>
            </w:r>
          </w:p>
        </w:tc>
        <w:tc>
          <w:tcPr>
            <w:tcW w:w="3169" w:type="dxa"/>
            <w:tcBorders>
              <w:top w:val="single" w:sz="12" w:space="0" w:color="000000"/>
              <w:left w:val="single" w:sz="12" w:space="0" w:color="000000"/>
              <w:bottom w:val="single" w:sz="12" w:space="0" w:color="000000"/>
              <w:right w:val="single" w:sz="12" w:space="0" w:color="000000"/>
            </w:tcBorders>
            <w:shd w:val="clear" w:color="auto" w:fill="9CC2E4"/>
          </w:tcPr>
          <w:p w:rsidR="0025497D" w:rsidRDefault="00101C89">
            <w:pPr>
              <w:pStyle w:val="TableParagraph"/>
              <w:ind w:left="59" w:right="48"/>
              <w:rPr>
                <w:sz w:val="24"/>
              </w:rPr>
            </w:pPr>
            <w:r>
              <w:rPr>
                <w:spacing w:val="-5"/>
                <w:sz w:val="24"/>
              </w:rPr>
              <w:t>E06</w:t>
            </w:r>
          </w:p>
        </w:tc>
      </w:tr>
      <w:tr w:rsidR="00E12433">
        <w:trPr>
          <w:trHeight w:val="520"/>
        </w:trPr>
        <w:tc>
          <w:tcPr>
            <w:tcW w:w="3174" w:type="dxa"/>
            <w:vMerge w:val="restart"/>
            <w:tcBorders>
              <w:top w:val="single" w:sz="12" w:space="0" w:color="000000"/>
              <w:left w:val="single" w:sz="12" w:space="0" w:color="000000"/>
              <w:bottom w:val="single" w:sz="12" w:space="0" w:color="000000"/>
              <w:right w:val="single" w:sz="12" w:space="0" w:color="000000"/>
            </w:tcBorders>
          </w:tcPr>
          <w:p w:rsidR="00E12433" w:rsidRDefault="00E12433" w:rsidP="00E12433">
            <w:pPr>
              <w:pStyle w:val="TableParagraph"/>
              <w:spacing w:before="195"/>
              <w:ind w:left="0" w:right="0"/>
              <w:jc w:val="left"/>
              <w:rPr>
                <w:b/>
                <w:sz w:val="24"/>
              </w:rPr>
            </w:pPr>
          </w:p>
          <w:p w:rsidR="00E12433" w:rsidRDefault="00E12433" w:rsidP="00E12433">
            <w:pPr>
              <w:pStyle w:val="TableParagraph"/>
              <w:spacing w:before="0"/>
              <w:ind w:left="530" w:right="0" w:hanging="90"/>
              <w:jc w:val="left"/>
              <w:rPr>
                <w:sz w:val="24"/>
              </w:rPr>
            </w:pPr>
            <w:r w:rsidRPr="00E12433">
              <w:rPr>
                <w:sz w:val="24"/>
              </w:rPr>
              <w:t>Connection type (for steel radiators)</w:t>
            </w:r>
          </w:p>
        </w:tc>
        <w:tc>
          <w:tcPr>
            <w:tcW w:w="3167" w:type="dxa"/>
            <w:tcBorders>
              <w:top w:val="single" w:sz="12" w:space="0" w:color="000000"/>
              <w:left w:val="single" w:sz="12" w:space="0" w:color="000000"/>
              <w:bottom w:val="single" w:sz="12" w:space="0" w:color="000000"/>
              <w:right w:val="single" w:sz="12" w:space="0" w:color="000000"/>
            </w:tcBorders>
          </w:tcPr>
          <w:p w:rsidR="00E12433" w:rsidRPr="00910987" w:rsidRDefault="00E12433" w:rsidP="00E12433">
            <w:pPr>
              <w:jc w:val="center"/>
            </w:pPr>
            <w:r w:rsidRPr="00910987">
              <w:t>Lateral</w:t>
            </w:r>
          </w:p>
        </w:tc>
        <w:tc>
          <w:tcPr>
            <w:tcW w:w="3169" w:type="dxa"/>
            <w:tcBorders>
              <w:top w:val="single" w:sz="12" w:space="0" w:color="000000"/>
              <w:left w:val="single" w:sz="12" w:space="0" w:color="000000"/>
              <w:bottom w:val="single" w:sz="12" w:space="0" w:color="000000"/>
              <w:right w:val="single" w:sz="12" w:space="0" w:color="000000"/>
            </w:tcBorders>
            <w:shd w:val="clear" w:color="auto" w:fill="A8D08D"/>
          </w:tcPr>
          <w:p w:rsidR="00E12433" w:rsidRDefault="00E12433" w:rsidP="00E12433">
            <w:pPr>
              <w:pStyle w:val="TableParagraph"/>
              <w:ind w:left="59" w:right="53"/>
              <w:rPr>
                <w:sz w:val="24"/>
              </w:rPr>
            </w:pPr>
            <w:r>
              <w:rPr>
                <w:spacing w:val="-5"/>
                <w:sz w:val="24"/>
              </w:rPr>
              <w:t>F01</w:t>
            </w:r>
          </w:p>
        </w:tc>
      </w:tr>
      <w:tr w:rsidR="00E12433">
        <w:trPr>
          <w:trHeight w:val="515"/>
        </w:trPr>
        <w:tc>
          <w:tcPr>
            <w:tcW w:w="3174" w:type="dxa"/>
            <w:vMerge/>
            <w:tcBorders>
              <w:top w:val="nil"/>
              <w:left w:val="single" w:sz="12" w:space="0" w:color="000000"/>
              <w:bottom w:val="single" w:sz="12" w:space="0" w:color="000000"/>
              <w:right w:val="single" w:sz="12" w:space="0" w:color="000000"/>
            </w:tcBorders>
          </w:tcPr>
          <w:p w:rsidR="00E12433" w:rsidRDefault="00E12433" w:rsidP="00E12433">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E12433" w:rsidRPr="00910987" w:rsidRDefault="00E12433" w:rsidP="00E12433">
            <w:pPr>
              <w:jc w:val="center"/>
            </w:pPr>
            <w:r w:rsidRPr="00910987">
              <w:t>Lower</w:t>
            </w:r>
          </w:p>
        </w:tc>
        <w:tc>
          <w:tcPr>
            <w:tcW w:w="3169" w:type="dxa"/>
            <w:tcBorders>
              <w:top w:val="single" w:sz="12" w:space="0" w:color="000000"/>
              <w:left w:val="single" w:sz="12" w:space="0" w:color="000000"/>
              <w:bottom w:val="single" w:sz="12" w:space="0" w:color="000000"/>
              <w:right w:val="single" w:sz="12" w:space="0" w:color="000000"/>
            </w:tcBorders>
            <w:shd w:val="clear" w:color="auto" w:fill="A8D08D"/>
          </w:tcPr>
          <w:p w:rsidR="00E12433" w:rsidRDefault="00E12433" w:rsidP="00E12433">
            <w:pPr>
              <w:pStyle w:val="TableParagraph"/>
              <w:ind w:left="59" w:right="53"/>
              <w:rPr>
                <w:sz w:val="24"/>
              </w:rPr>
            </w:pPr>
            <w:r>
              <w:rPr>
                <w:spacing w:val="-5"/>
                <w:sz w:val="24"/>
              </w:rPr>
              <w:t>F02</w:t>
            </w:r>
          </w:p>
        </w:tc>
      </w:tr>
      <w:tr w:rsidR="00E12433">
        <w:trPr>
          <w:trHeight w:val="515"/>
        </w:trPr>
        <w:tc>
          <w:tcPr>
            <w:tcW w:w="3174" w:type="dxa"/>
            <w:vMerge/>
            <w:tcBorders>
              <w:top w:val="nil"/>
              <w:left w:val="single" w:sz="12" w:space="0" w:color="000000"/>
              <w:bottom w:val="single" w:sz="12" w:space="0" w:color="000000"/>
              <w:right w:val="single" w:sz="12" w:space="0" w:color="000000"/>
            </w:tcBorders>
          </w:tcPr>
          <w:p w:rsidR="00E12433" w:rsidRDefault="00E12433" w:rsidP="00E12433">
            <w:pPr>
              <w:rPr>
                <w:sz w:val="2"/>
                <w:szCs w:val="2"/>
              </w:rPr>
            </w:pPr>
          </w:p>
        </w:tc>
        <w:tc>
          <w:tcPr>
            <w:tcW w:w="3167" w:type="dxa"/>
            <w:tcBorders>
              <w:top w:val="single" w:sz="12" w:space="0" w:color="000000"/>
              <w:left w:val="single" w:sz="12" w:space="0" w:color="000000"/>
              <w:bottom w:val="single" w:sz="12" w:space="0" w:color="000000"/>
              <w:right w:val="single" w:sz="12" w:space="0" w:color="000000"/>
            </w:tcBorders>
          </w:tcPr>
          <w:p w:rsidR="00E12433" w:rsidRDefault="00E12433" w:rsidP="00E12433">
            <w:pPr>
              <w:jc w:val="center"/>
            </w:pPr>
            <w:r w:rsidRPr="00910987">
              <w:t>Other</w:t>
            </w:r>
          </w:p>
        </w:tc>
        <w:tc>
          <w:tcPr>
            <w:tcW w:w="3169" w:type="dxa"/>
            <w:tcBorders>
              <w:top w:val="single" w:sz="12" w:space="0" w:color="000000"/>
              <w:left w:val="single" w:sz="12" w:space="0" w:color="000000"/>
              <w:bottom w:val="single" w:sz="12" w:space="0" w:color="000000"/>
              <w:right w:val="single" w:sz="12" w:space="0" w:color="000000"/>
            </w:tcBorders>
            <w:shd w:val="clear" w:color="auto" w:fill="A8D08D"/>
          </w:tcPr>
          <w:p w:rsidR="00E12433" w:rsidRDefault="00E12433" w:rsidP="00E12433">
            <w:pPr>
              <w:pStyle w:val="TableParagraph"/>
              <w:ind w:left="59" w:right="53"/>
              <w:rPr>
                <w:sz w:val="24"/>
              </w:rPr>
            </w:pPr>
            <w:r>
              <w:rPr>
                <w:spacing w:val="-5"/>
                <w:sz w:val="24"/>
              </w:rPr>
              <w:t>F03</w:t>
            </w:r>
          </w:p>
        </w:tc>
      </w:tr>
    </w:tbl>
    <w:p w:rsidR="0025497D" w:rsidRDefault="0025497D">
      <w:pPr>
        <w:pStyle w:val="GvdeMetni"/>
        <w:spacing w:before="1"/>
        <w:ind w:left="0" w:firstLine="0"/>
        <w:jc w:val="left"/>
        <w:rPr>
          <w:b/>
        </w:rPr>
      </w:pPr>
    </w:p>
    <w:p w:rsidR="00D95F23" w:rsidRDefault="00D95F23" w:rsidP="00D95F23">
      <w:pPr>
        <w:pStyle w:val="GvdeMetni"/>
        <w:ind w:left="545"/>
      </w:pPr>
      <w:r>
        <w:t>The proposed methodology provides for different PCN codes for the following product characteristics:</w:t>
      </w:r>
    </w:p>
    <w:p w:rsidR="00D95F23" w:rsidRDefault="00D95F23" w:rsidP="00D95F23">
      <w:pPr>
        <w:pStyle w:val="GvdeMetni"/>
        <w:ind w:left="545" w:hanging="261"/>
      </w:pPr>
    </w:p>
    <w:p w:rsidR="00D95F23" w:rsidRDefault="00D95F23" w:rsidP="00D95F23">
      <w:pPr>
        <w:pStyle w:val="GvdeMetni"/>
        <w:ind w:left="545"/>
      </w:pPr>
      <w:r>
        <w:t>1) Material from which the radiator is made;</w:t>
      </w:r>
    </w:p>
    <w:p w:rsidR="00D95F23" w:rsidRDefault="00D95F23" w:rsidP="00D95F23">
      <w:pPr>
        <w:pStyle w:val="GvdeMetni"/>
        <w:ind w:left="545"/>
      </w:pPr>
      <w:r>
        <w:t>2) Height;</w:t>
      </w:r>
    </w:p>
    <w:p w:rsidR="00D95F23" w:rsidRDefault="00D95F23" w:rsidP="00D95F23">
      <w:pPr>
        <w:pStyle w:val="GvdeMetni"/>
        <w:ind w:left="545"/>
      </w:pPr>
      <w:r>
        <w:t>3) Length;</w:t>
      </w:r>
    </w:p>
    <w:p w:rsidR="00D95F23" w:rsidRDefault="00D95F23" w:rsidP="00D95F23">
      <w:pPr>
        <w:pStyle w:val="GvdeMetni"/>
        <w:ind w:left="545"/>
      </w:pPr>
      <w:r>
        <w:t>4) Number of heating convectors, number of panels (for steel radiators);</w:t>
      </w:r>
    </w:p>
    <w:p w:rsidR="00D95F23" w:rsidRDefault="00D95F23" w:rsidP="00D95F23">
      <w:pPr>
        <w:pStyle w:val="GvdeMetni"/>
        <w:ind w:left="545"/>
      </w:pPr>
      <w:r>
        <w:t>5) Section width (for aluminum and bimetallic radiators);</w:t>
      </w:r>
    </w:p>
    <w:p w:rsidR="00D95F23" w:rsidRDefault="00D95F23" w:rsidP="00D95F23">
      <w:pPr>
        <w:pStyle w:val="GvdeMetni"/>
        <w:ind w:left="545"/>
      </w:pPr>
      <w:r>
        <w:t>6) Type of connection (for steel radiators).</w:t>
      </w:r>
    </w:p>
    <w:p w:rsidR="00D95F23" w:rsidRDefault="00D95F23" w:rsidP="00D95F23">
      <w:pPr>
        <w:pStyle w:val="GvdeMetni"/>
        <w:ind w:left="545"/>
      </w:pPr>
    </w:p>
    <w:p w:rsidR="00D95F23" w:rsidRDefault="00D95F23" w:rsidP="00D95F23">
      <w:pPr>
        <w:pStyle w:val="GvdeMetni"/>
        <w:ind w:left="545"/>
      </w:pPr>
      <w:r w:rsidRPr="00D95F23">
        <w:rPr>
          <w:b/>
        </w:rPr>
        <w:t>Steel radiators (A01)</w:t>
      </w:r>
      <w:r>
        <w:t xml:space="preserve"> are spot-welded thin plates of sheet steel. The coolant moves through a zigzag channel, which is due to the fact that the plates are stamped in the form of a recess under the channel.</w:t>
      </w:r>
    </w:p>
    <w:p w:rsidR="00101C89" w:rsidRDefault="00101C89" w:rsidP="00D95F23">
      <w:pPr>
        <w:pStyle w:val="GvdeMetni"/>
        <w:ind w:left="545"/>
      </w:pPr>
    </w:p>
    <w:p w:rsidR="00101C89" w:rsidRDefault="00D95F23" w:rsidP="00101C89">
      <w:pPr>
        <w:pStyle w:val="GvdeMetni"/>
        <w:ind w:left="545"/>
      </w:pPr>
      <w:r>
        <w:t>T</w:t>
      </w:r>
      <w:r w:rsidRPr="00D95F23">
        <w:rPr>
          <w:b/>
        </w:rPr>
        <w:t>he appearance and variety of sizes of steel radiators.</w:t>
      </w:r>
      <w:r w:rsidRPr="00D95F23">
        <w:rPr>
          <w:b/>
          <w:lang w:val="en-US"/>
        </w:rPr>
        <w:t xml:space="preserve"> </w:t>
      </w:r>
      <w:r>
        <w:t>The national producer produces radiators from 200 mm to 600 mm in height (B01-B05), and in length from 400 mm to 3000 mm (C01 - C27), which allows the end user to make a choice based on his needs. For example, low and elongated for installation in front of panoramic windows, and high and narrow for installation near the door to the balcony, etc. It is also possible to trace the connection, how to identify the number of active heating panels and convectors to increase heat output by marking the radiator. For example, type</w:t>
      </w:r>
      <w:r w:rsidR="00101C89">
        <w:rPr>
          <w:lang w:val="en-US"/>
        </w:rPr>
        <w:t xml:space="preserve"> </w:t>
      </w:r>
      <w:r>
        <w:t>22 (internal classification) means that there are 2 active panels behind which the coolant circulates and two corrugated steel convectors corresponding to PCN code D03.</w:t>
      </w:r>
    </w:p>
    <w:p w:rsidR="00101C89" w:rsidRDefault="00101C89" w:rsidP="00101C89">
      <w:pPr>
        <w:pStyle w:val="GvdeMetni"/>
        <w:ind w:left="545"/>
      </w:pPr>
    </w:p>
    <w:p w:rsidR="00101C89" w:rsidRDefault="00101C89" w:rsidP="00101C89">
      <w:pPr>
        <w:pStyle w:val="GvdeMetni"/>
        <w:ind w:left="545"/>
      </w:pPr>
      <w:r>
        <w:t>In addition, steel radiators differ in the type of connection to pipe wiring:</w:t>
      </w:r>
    </w:p>
    <w:p w:rsidR="00101C89" w:rsidRDefault="00101C89" w:rsidP="00101C89">
      <w:pPr>
        <w:pStyle w:val="GvdeMetni"/>
        <w:ind w:left="545"/>
      </w:pPr>
    </w:p>
    <w:p w:rsidR="00101C89" w:rsidRDefault="00101C89" w:rsidP="00101C89">
      <w:pPr>
        <w:pStyle w:val="GvdeMetni"/>
        <w:ind w:left="545"/>
      </w:pPr>
      <w:r w:rsidRPr="00101C89">
        <w:rPr>
          <w:b/>
        </w:rPr>
        <w:t>- the lower connection</w:t>
      </w:r>
      <w:r>
        <w:t xml:space="preserve"> is intended for systems with hidden piping in the floor (does not work without a circulation pump); used if an autonomous heating system is installed and there is a risk of power outages in winter, but such a system is more economical and works better with thermostat heads;</w:t>
      </w:r>
    </w:p>
    <w:p w:rsidR="00101C89" w:rsidRDefault="00101C89" w:rsidP="00101C89">
      <w:pPr>
        <w:pStyle w:val="GvdeMetni"/>
        <w:ind w:left="545"/>
      </w:pPr>
    </w:p>
    <w:p w:rsidR="00101C89" w:rsidRDefault="00101C89" w:rsidP="00101C89">
      <w:pPr>
        <w:pStyle w:val="GvdeMetni"/>
        <w:ind w:left="545"/>
      </w:pPr>
      <w:r w:rsidRPr="00101C89">
        <w:rPr>
          <w:b/>
        </w:rPr>
        <w:t>- lateral connection</w:t>
      </w:r>
      <w:r>
        <w:t xml:space="preserve"> has a lower cost. Including, you can use thermal heads with a lateral diagonal connection, which allows the heating system to work with natural circulation of the coolant.</w:t>
      </w:r>
    </w:p>
    <w:p w:rsidR="00101C89" w:rsidRDefault="00101C89" w:rsidP="00101C89">
      <w:pPr>
        <w:pStyle w:val="GvdeMetni"/>
        <w:ind w:left="545"/>
      </w:pPr>
    </w:p>
    <w:p w:rsidR="00101C89" w:rsidRDefault="00101C89" w:rsidP="00101C89">
      <w:pPr>
        <w:pStyle w:val="GvdeMetni"/>
        <w:ind w:left="545"/>
      </w:pPr>
      <w:r w:rsidRPr="00101C89">
        <w:rPr>
          <w:b/>
        </w:rPr>
        <w:t>Aluminum radiators (A02)</w:t>
      </w:r>
      <w:r>
        <w:t xml:space="preserve"> are a construction of separate aluminum sections with better heat transfer, different design and light weight. Each section consists of elements - a head, a rib and a bottom part, which are connected to each other.</w:t>
      </w:r>
    </w:p>
    <w:p w:rsidR="00101C89" w:rsidRDefault="00101C89" w:rsidP="00101C89">
      <w:pPr>
        <w:pStyle w:val="GvdeMetni"/>
        <w:ind w:left="545"/>
      </w:pPr>
    </w:p>
    <w:p w:rsidR="00101C89" w:rsidRDefault="00101C89" w:rsidP="00101C89">
      <w:pPr>
        <w:pStyle w:val="GvdeMetni"/>
        <w:ind w:left="545"/>
      </w:pPr>
      <w:r>
        <w:lastRenderedPageBreak/>
        <w:t>Sections are created by casting, the main raw material is aluminum (86%), supplemented with silicon and copper, which increases the strength of the radiator several times. It has a standard pressure of 16 atmospheres, but thanks to innovative technologies, the national manufacturer managed to improve production in such a way that each element is able to withstand pressure jumps in the system up to 24 atmospheres.</w:t>
      </w:r>
    </w:p>
    <w:p w:rsidR="00101C89" w:rsidRDefault="00101C89" w:rsidP="00101C89">
      <w:pPr>
        <w:pStyle w:val="GvdeMetni"/>
        <w:ind w:left="545"/>
      </w:pPr>
    </w:p>
    <w:p w:rsidR="00101C89" w:rsidRDefault="00101C89" w:rsidP="00101C89">
      <w:pPr>
        <w:pStyle w:val="GvdeMetni"/>
        <w:ind w:left="545"/>
      </w:pPr>
      <w:r w:rsidRPr="00101C89">
        <w:t>Aluminum radiators</w:t>
      </w:r>
      <w:r>
        <w:t xml:space="preserve"> are produced from 300 mm to 600 mm (B02-B05). The length depends on the number of interconnected sections. Most often, aluminum radiators are produced in 6, 8, 10 and 12 sections, but everything depends on the end user, so the main unit of measurement is the section.</w:t>
      </w:r>
    </w:p>
    <w:p w:rsidR="00101C89" w:rsidRDefault="00101C89" w:rsidP="00101C89">
      <w:pPr>
        <w:pStyle w:val="GvdeMetni"/>
        <w:ind w:left="545"/>
      </w:pPr>
    </w:p>
    <w:p w:rsidR="00101C89" w:rsidRDefault="00101C89" w:rsidP="00101C89">
      <w:pPr>
        <w:pStyle w:val="GvdeMetni"/>
        <w:ind w:left="545"/>
      </w:pPr>
      <w:r>
        <w:t>The national producer produces radiators with different section depths: from 70 to 96 mm (E01-E04), which affects heat transfer indicators, the weight of the radiator, overall dimensions for a convenient choice for the consumer.</w:t>
      </w:r>
    </w:p>
    <w:p w:rsidR="00101C89" w:rsidRDefault="00101C89" w:rsidP="00101C89">
      <w:pPr>
        <w:pStyle w:val="GvdeMetni"/>
        <w:ind w:left="545"/>
      </w:pPr>
    </w:p>
    <w:p w:rsidR="00101C89" w:rsidRDefault="00101C89" w:rsidP="00101C89">
      <w:pPr>
        <w:pStyle w:val="GvdeMetni"/>
        <w:ind w:left="545"/>
      </w:pPr>
      <w:r w:rsidRPr="00101C89">
        <w:rPr>
          <w:b/>
        </w:rPr>
        <w:t>Bimetallic radiators (A03)</w:t>
      </w:r>
      <w:r>
        <w:t xml:space="preserve"> are made of two materials: steel and aluminum. The pipe through which the coolant flows, the inner layer is made of steel, and the outer layer of the radiator is made of aluminum. Working pressure 24 atmospheres.</w:t>
      </w:r>
    </w:p>
    <w:p w:rsidR="00101C89" w:rsidRDefault="00101C89" w:rsidP="00101C89">
      <w:pPr>
        <w:pStyle w:val="GvdeMetni"/>
        <w:ind w:left="545"/>
      </w:pPr>
    </w:p>
    <w:p w:rsidR="00101C89" w:rsidRDefault="00101C89" w:rsidP="00101C89">
      <w:pPr>
        <w:pStyle w:val="GvdeMetni"/>
        <w:ind w:left="545"/>
      </w:pPr>
      <w:r>
        <w:t>The weight of bimetallic radiators is +/- 25% higher than that of aluminum radiators due to the fact that bimetal has an additional layer of steel collector through which the coolant passes. The additional weight is an advantage due to the increased reliability and guarantee against microcracks and leaks, as a result of which the service life is longer.</w:t>
      </w:r>
    </w:p>
    <w:p w:rsidR="00101C89" w:rsidRDefault="00101C89" w:rsidP="00101C89">
      <w:pPr>
        <w:pStyle w:val="GvdeMetni"/>
        <w:ind w:left="545"/>
      </w:pPr>
    </w:p>
    <w:p w:rsidR="0025497D" w:rsidRDefault="00101C89" w:rsidP="00101C89">
      <w:pPr>
        <w:pStyle w:val="GvdeMetni"/>
        <w:ind w:left="545"/>
      </w:pPr>
      <w:r>
        <w:t>Bimetallic radiators, as well as aluminum radiators, are produced from 300 mm to 600 mm (B02-B05), the length of which depends on the number of interconnected sections.</w:t>
      </w:r>
    </w:p>
    <w:sectPr w:rsidR="0025497D" w:rsidSect="00101C89">
      <w:pgSz w:w="11910" w:h="16840"/>
      <w:pgMar w:top="1100" w:right="6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A3547"/>
    <w:multiLevelType w:val="hybridMultilevel"/>
    <w:tmpl w:val="30CEA648"/>
    <w:lvl w:ilvl="0" w:tplc="BA0C1246">
      <w:start w:val="1"/>
      <w:numFmt w:val="decimal"/>
      <w:lvlText w:val="%1)"/>
      <w:lvlJc w:val="left"/>
      <w:pPr>
        <w:ind w:left="906"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EC03266">
      <w:numFmt w:val="bullet"/>
      <w:lvlText w:val="-"/>
      <w:lvlJc w:val="left"/>
      <w:pPr>
        <w:ind w:left="921" w:hanging="350"/>
      </w:pPr>
      <w:rPr>
        <w:rFonts w:ascii="Times New Roman" w:eastAsia="Times New Roman" w:hAnsi="Times New Roman" w:cs="Times New Roman" w:hint="default"/>
        <w:b w:val="0"/>
        <w:bCs w:val="0"/>
        <w:i w:val="0"/>
        <w:iCs w:val="0"/>
        <w:spacing w:val="0"/>
        <w:w w:val="100"/>
        <w:sz w:val="24"/>
        <w:szCs w:val="24"/>
        <w:lang w:val="uk-UA" w:eastAsia="en-US" w:bidi="ar-SA"/>
      </w:rPr>
    </w:lvl>
    <w:lvl w:ilvl="2" w:tplc="EA24E702">
      <w:numFmt w:val="bullet"/>
      <w:lvlText w:val="•"/>
      <w:lvlJc w:val="left"/>
      <w:pPr>
        <w:ind w:left="1902" w:hanging="350"/>
      </w:pPr>
      <w:rPr>
        <w:rFonts w:hint="default"/>
        <w:lang w:val="uk-UA" w:eastAsia="en-US" w:bidi="ar-SA"/>
      </w:rPr>
    </w:lvl>
    <w:lvl w:ilvl="3" w:tplc="CD909440">
      <w:numFmt w:val="bullet"/>
      <w:lvlText w:val="•"/>
      <w:lvlJc w:val="left"/>
      <w:pPr>
        <w:ind w:left="2885" w:hanging="350"/>
      </w:pPr>
      <w:rPr>
        <w:rFonts w:hint="default"/>
        <w:lang w:val="uk-UA" w:eastAsia="en-US" w:bidi="ar-SA"/>
      </w:rPr>
    </w:lvl>
    <w:lvl w:ilvl="4" w:tplc="ED4079CA">
      <w:numFmt w:val="bullet"/>
      <w:lvlText w:val="•"/>
      <w:lvlJc w:val="left"/>
      <w:pPr>
        <w:ind w:left="3868" w:hanging="350"/>
      </w:pPr>
      <w:rPr>
        <w:rFonts w:hint="default"/>
        <w:lang w:val="uk-UA" w:eastAsia="en-US" w:bidi="ar-SA"/>
      </w:rPr>
    </w:lvl>
    <w:lvl w:ilvl="5" w:tplc="D34EF954">
      <w:numFmt w:val="bullet"/>
      <w:lvlText w:val="•"/>
      <w:lvlJc w:val="left"/>
      <w:pPr>
        <w:ind w:left="4851" w:hanging="350"/>
      </w:pPr>
      <w:rPr>
        <w:rFonts w:hint="default"/>
        <w:lang w:val="uk-UA" w:eastAsia="en-US" w:bidi="ar-SA"/>
      </w:rPr>
    </w:lvl>
    <w:lvl w:ilvl="6" w:tplc="BA222F94">
      <w:numFmt w:val="bullet"/>
      <w:lvlText w:val="•"/>
      <w:lvlJc w:val="left"/>
      <w:pPr>
        <w:ind w:left="5833" w:hanging="350"/>
      </w:pPr>
      <w:rPr>
        <w:rFonts w:hint="default"/>
        <w:lang w:val="uk-UA" w:eastAsia="en-US" w:bidi="ar-SA"/>
      </w:rPr>
    </w:lvl>
    <w:lvl w:ilvl="7" w:tplc="BA54A89E">
      <w:numFmt w:val="bullet"/>
      <w:lvlText w:val="•"/>
      <w:lvlJc w:val="left"/>
      <w:pPr>
        <w:ind w:left="6816" w:hanging="350"/>
      </w:pPr>
      <w:rPr>
        <w:rFonts w:hint="default"/>
        <w:lang w:val="uk-UA" w:eastAsia="en-US" w:bidi="ar-SA"/>
      </w:rPr>
    </w:lvl>
    <w:lvl w:ilvl="8" w:tplc="53569882">
      <w:numFmt w:val="bullet"/>
      <w:lvlText w:val="•"/>
      <w:lvlJc w:val="left"/>
      <w:pPr>
        <w:ind w:left="7799" w:hanging="35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7D"/>
    <w:rsid w:val="000A010D"/>
    <w:rsid w:val="00101C89"/>
    <w:rsid w:val="0025497D"/>
    <w:rsid w:val="007734AB"/>
    <w:rsid w:val="00926B82"/>
    <w:rsid w:val="00D2236A"/>
    <w:rsid w:val="00D95F23"/>
    <w:rsid w:val="00E1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31CD8-1FA4-43E1-886D-5711F03B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uk-U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00" w:firstLine="345"/>
      <w:jc w:val="both"/>
    </w:pPr>
    <w:rPr>
      <w:sz w:val="24"/>
      <w:szCs w:val="24"/>
    </w:rPr>
  </w:style>
  <w:style w:type="paragraph" w:styleId="KonuBal">
    <w:name w:val="Title"/>
    <w:basedOn w:val="Normal"/>
    <w:uiPriority w:val="1"/>
    <w:qFormat/>
    <w:pPr>
      <w:spacing w:before="274"/>
      <w:ind w:left="162" w:right="219"/>
      <w:jc w:val="center"/>
    </w:pPr>
    <w:rPr>
      <w:b/>
      <w:bCs/>
      <w:sz w:val="24"/>
      <w:szCs w:val="24"/>
    </w:rPr>
  </w:style>
  <w:style w:type="paragraph" w:styleId="ListeParagraf">
    <w:name w:val="List Paragraph"/>
    <w:basedOn w:val="Normal"/>
    <w:uiPriority w:val="1"/>
    <w:qFormat/>
    <w:pPr>
      <w:spacing w:before="139"/>
      <w:ind w:left="904" w:hanging="359"/>
    </w:pPr>
  </w:style>
  <w:style w:type="paragraph" w:customStyle="1" w:styleId="TableParagraph">
    <w:name w:val="Table Paragraph"/>
    <w:basedOn w:val="Normal"/>
    <w:uiPriority w:val="1"/>
    <w:qFormat/>
    <w:pPr>
      <w:spacing w:before="61"/>
      <w:ind w:left="12" w:right="3"/>
      <w:jc w:val="center"/>
    </w:pPr>
  </w:style>
  <w:style w:type="character" w:customStyle="1" w:styleId="rynqvb">
    <w:name w:val="rynqvb"/>
    <w:basedOn w:val="VarsaylanParagrafYazTipi"/>
    <w:rsid w:val="000A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Microsoft hesabı</cp:lastModifiedBy>
  <cp:revision>2</cp:revision>
  <dcterms:created xsi:type="dcterms:W3CDTF">2024-05-29T07:22:00Z</dcterms:created>
  <dcterms:modified xsi:type="dcterms:W3CDTF">2024-05-29T07:22:00Z</dcterms:modified>
</cp:coreProperties>
</file>